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E7C" w:rsidRDefault="000D3E2C">
      <w:pPr>
        <w:ind w:left="2895"/>
        <w:rPr>
          <w:rFonts w:ascii="Times New Roman"/>
          <w:sz w:val="20"/>
        </w:rPr>
      </w:pPr>
      <w:r>
        <w:rPr>
          <w:rFonts w:ascii="Times New Roman"/>
          <w:noProof/>
          <w:position w:val="5"/>
          <w:sz w:val="20"/>
        </w:rPr>
        <w:drawing>
          <wp:inline distT="0" distB="0" distL="0" distR="0">
            <wp:extent cx="1318261" cy="44957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8261" cy="44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5"/>
          <w:position w:val="5"/>
          <w:sz w:val="20"/>
        </w:rPr>
        <w:t xml:space="preserve"> </w:t>
      </w:r>
      <w:r>
        <w:rPr>
          <w:rFonts w:ascii="Times New Roman"/>
          <w:noProof/>
          <w:spacing w:val="45"/>
          <w:sz w:val="20"/>
        </w:rPr>
        <w:drawing>
          <wp:inline distT="0" distB="0" distL="0" distR="0">
            <wp:extent cx="1514967" cy="32604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967" cy="32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E7C" w:rsidRDefault="00701E7C">
      <w:pPr>
        <w:pStyle w:val="BodyText"/>
        <w:rPr>
          <w:rFonts w:ascii="Times New Roman"/>
          <w:sz w:val="20"/>
        </w:rPr>
      </w:pPr>
    </w:p>
    <w:p w:rsidR="00701E7C" w:rsidRDefault="00701E7C">
      <w:pPr>
        <w:pStyle w:val="BodyText"/>
        <w:spacing w:before="6"/>
        <w:rPr>
          <w:rFonts w:ascii="Times New Roman"/>
          <w:sz w:val="21"/>
        </w:rPr>
      </w:pPr>
    </w:p>
    <w:p w:rsidR="00701E7C" w:rsidRDefault="000D3E2C">
      <w:pPr>
        <w:pStyle w:val="Heading1"/>
        <w:tabs>
          <w:tab w:val="left" w:pos="7250"/>
        </w:tabs>
        <w:spacing w:before="100"/>
        <w:ind w:right="388" w:hanging="7137"/>
      </w:pPr>
      <w:r>
        <w:t>FOR</w:t>
      </w:r>
      <w:r>
        <w:rPr>
          <w:spacing w:val="-2"/>
        </w:rPr>
        <w:t xml:space="preserve"> </w:t>
      </w:r>
      <w:r>
        <w:t>IMMEDIATE</w:t>
      </w:r>
      <w:r>
        <w:rPr>
          <w:spacing w:val="-2"/>
        </w:rPr>
        <w:t xml:space="preserve"> </w:t>
      </w:r>
      <w:r>
        <w:t>RELEASE</w:t>
      </w:r>
      <w:r>
        <w:tab/>
        <w:t>For more information, contact Tim</w:t>
      </w:r>
      <w:r>
        <w:rPr>
          <w:spacing w:val="-1"/>
        </w:rPr>
        <w:t xml:space="preserve"> </w:t>
      </w:r>
      <w:r>
        <w:t>Tyler</w:t>
      </w:r>
    </w:p>
    <w:p w:rsidR="00701E7C" w:rsidRDefault="000D3E2C">
      <w:pPr>
        <w:spacing w:before="1"/>
        <w:ind w:left="7250"/>
        <w:rPr>
          <w:rFonts w:ascii="Arial Narrow Bold"/>
          <w:b/>
          <w:sz w:val="24"/>
        </w:rPr>
      </w:pPr>
      <w:r>
        <w:rPr>
          <w:rFonts w:ascii="Arial Narrow Bold"/>
          <w:b/>
          <w:sz w:val="24"/>
        </w:rPr>
        <w:t>Viking Range, LLC, 662.451.4123</w:t>
      </w:r>
    </w:p>
    <w:p w:rsidR="00701E7C" w:rsidRDefault="00701E7C">
      <w:pPr>
        <w:pStyle w:val="BodyText"/>
        <w:spacing w:before="4"/>
        <w:rPr>
          <w:rFonts w:ascii="Arial Narrow Bold"/>
          <w:b/>
          <w:sz w:val="25"/>
        </w:rPr>
      </w:pPr>
    </w:p>
    <w:p w:rsidR="00701E7C" w:rsidRDefault="000D3E2C">
      <w:pPr>
        <w:ind w:left="2311"/>
        <w:rPr>
          <w:rFonts w:ascii="Arial Narrow Bold"/>
          <w:b/>
          <w:sz w:val="24"/>
        </w:rPr>
      </w:pPr>
      <w:r>
        <w:rPr>
          <w:rFonts w:ascii="Arial Narrow Bold"/>
          <w:b/>
          <w:sz w:val="24"/>
        </w:rPr>
        <w:t xml:space="preserve">VIKING OPENS SHOWROOM AT </w:t>
      </w:r>
      <w:proofErr w:type="gramStart"/>
      <w:r w:rsidR="000765C2">
        <w:rPr>
          <w:rFonts w:ascii="Arial Narrow Bold"/>
          <w:b/>
          <w:sz w:val="24"/>
        </w:rPr>
        <w:t>NEW YORK</w:t>
      </w:r>
      <w:proofErr w:type="gramEnd"/>
      <w:r w:rsidR="0072433B">
        <w:rPr>
          <w:rFonts w:ascii="Arial Narrow Bold"/>
          <w:b/>
          <w:sz w:val="24"/>
        </w:rPr>
        <w:t xml:space="preserve"> A&amp;D BUILDING </w:t>
      </w:r>
      <w:r w:rsidR="00CC0AFD">
        <w:rPr>
          <w:rFonts w:ascii="Arial Narrow Bold"/>
          <w:b/>
          <w:sz w:val="24"/>
        </w:rPr>
        <w:t xml:space="preserve"> </w:t>
      </w:r>
    </w:p>
    <w:p w:rsidR="00701E7C" w:rsidRPr="00CC0AFD" w:rsidRDefault="00701E7C">
      <w:pPr>
        <w:pStyle w:val="BodyText"/>
        <w:spacing w:before="6"/>
        <w:rPr>
          <w:b/>
        </w:rPr>
      </w:pPr>
    </w:p>
    <w:p w:rsidR="00701E7C" w:rsidRPr="00CC0AFD" w:rsidRDefault="000D3E2C">
      <w:pPr>
        <w:pStyle w:val="BodyText"/>
        <w:spacing w:line="252" w:lineRule="auto"/>
        <w:ind w:left="113" w:right="50"/>
      </w:pPr>
      <w:r w:rsidRPr="00760CC9">
        <w:rPr>
          <w:b/>
          <w:w w:val="105"/>
        </w:rPr>
        <w:t>New York, NY</w:t>
      </w:r>
      <w:r w:rsidR="00760CC9" w:rsidRPr="00760CC9">
        <w:rPr>
          <w:b/>
          <w:w w:val="105"/>
        </w:rPr>
        <w:t>, October 2018</w:t>
      </w:r>
      <w:r w:rsidRPr="00CC0AFD">
        <w:rPr>
          <w:w w:val="105"/>
        </w:rPr>
        <w:t xml:space="preserve"> – Viking Range, LLC, part of the Middleby Residential Group announces the grand opening of its new luxury appliance showroom </w:t>
      </w:r>
      <w:r w:rsidR="00CC0AFD" w:rsidRPr="00CC0AFD">
        <w:rPr>
          <w:w w:val="105"/>
        </w:rPr>
        <w:t xml:space="preserve">at </w:t>
      </w:r>
      <w:r w:rsidRPr="00CC0AFD">
        <w:rPr>
          <w:w w:val="105"/>
        </w:rPr>
        <w:t>New York</w:t>
      </w:r>
      <w:r w:rsidR="00CC0AFD" w:rsidRPr="00CC0AFD">
        <w:rPr>
          <w:w w:val="105"/>
        </w:rPr>
        <w:t>’s</w:t>
      </w:r>
      <w:r w:rsidRPr="00CC0AFD">
        <w:rPr>
          <w:w w:val="105"/>
        </w:rPr>
        <w:t xml:space="preserve"> </w:t>
      </w:r>
      <w:r w:rsidR="00CC0AFD" w:rsidRPr="00CC0AFD">
        <w:rPr>
          <w:w w:val="105"/>
        </w:rPr>
        <w:t>A&amp;D Building</w:t>
      </w:r>
      <w:r w:rsidRPr="00CC0AFD">
        <w:rPr>
          <w:w w:val="105"/>
        </w:rPr>
        <w:t xml:space="preserve">. This new Viking and Middleby Residential state of the art kitchen design showroom is located in Suite </w:t>
      </w:r>
      <w:r w:rsidR="00CC0AFD" w:rsidRPr="00CC0AFD">
        <w:rPr>
          <w:w w:val="105"/>
        </w:rPr>
        <w:t>1062</w:t>
      </w:r>
      <w:r w:rsidRPr="00CC0AFD">
        <w:rPr>
          <w:w w:val="105"/>
        </w:rPr>
        <w:t xml:space="preserve"> of the </w:t>
      </w:r>
      <w:r w:rsidR="00CC0AFD" w:rsidRPr="00CC0AFD">
        <w:rPr>
          <w:w w:val="105"/>
        </w:rPr>
        <w:t>A&amp;D Building</w:t>
      </w:r>
      <w:r w:rsidR="0072433B">
        <w:rPr>
          <w:w w:val="105"/>
        </w:rPr>
        <w:t xml:space="preserve"> at </w:t>
      </w:r>
      <w:r w:rsidR="00CC0AFD" w:rsidRPr="00CC0AFD">
        <w:rPr>
          <w:w w:val="105"/>
        </w:rPr>
        <w:t>150 E 58</w:t>
      </w:r>
      <w:r w:rsidR="00CC0AFD" w:rsidRPr="00CC0AFD">
        <w:rPr>
          <w:w w:val="105"/>
          <w:vertAlign w:val="superscript"/>
        </w:rPr>
        <w:t>th</w:t>
      </w:r>
      <w:r w:rsidR="00760CC9">
        <w:rPr>
          <w:w w:val="105"/>
          <w:vertAlign w:val="superscript"/>
        </w:rPr>
        <w:t xml:space="preserve"> </w:t>
      </w:r>
      <w:r w:rsidR="00760CC9">
        <w:rPr>
          <w:w w:val="105"/>
        </w:rPr>
        <w:t xml:space="preserve">Street </w:t>
      </w:r>
      <w:r w:rsidR="00CC0AFD" w:rsidRPr="00CC0AFD">
        <w:rPr>
          <w:w w:val="105"/>
        </w:rPr>
        <w:t>in New York City</w:t>
      </w:r>
      <w:r w:rsidRPr="00CC0AFD">
        <w:rPr>
          <w:w w:val="105"/>
        </w:rPr>
        <w:t xml:space="preserve">. </w:t>
      </w:r>
      <w:r w:rsidR="00CC0AFD" w:rsidRPr="00CC0AFD">
        <w:rPr>
          <w:w w:val="105"/>
        </w:rPr>
        <w:t>The</w:t>
      </w:r>
      <w:r w:rsidRPr="00CC0AFD">
        <w:rPr>
          <w:w w:val="105"/>
        </w:rPr>
        <w:t xml:space="preserve"> ultra-premium</w:t>
      </w:r>
      <w:r w:rsidR="0072433B">
        <w:rPr>
          <w:w w:val="105"/>
        </w:rPr>
        <w:t xml:space="preserve"> and</w:t>
      </w:r>
      <w:r w:rsidRPr="00CC0AFD">
        <w:rPr>
          <w:w w:val="105"/>
        </w:rPr>
        <w:t xml:space="preserve"> innovative cooking and refrigeration appliances</w:t>
      </w:r>
      <w:r w:rsidR="00CC0AFD" w:rsidRPr="00CC0AFD">
        <w:rPr>
          <w:w w:val="105"/>
        </w:rPr>
        <w:t xml:space="preserve"> featured in the new showroom</w:t>
      </w:r>
      <w:r w:rsidRPr="00CC0AFD">
        <w:rPr>
          <w:w w:val="105"/>
        </w:rPr>
        <w:t xml:space="preserve"> display the finest kitchen</w:t>
      </w:r>
      <w:r w:rsidR="00CC0AFD" w:rsidRPr="00CC0AFD">
        <w:rPr>
          <w:w w:val="105"/>
        </w:rPr>
        <w:t xml:space="preserve"> appliance brands on the market. </w:t>
      </w:r>
      <w:r w:rsidRPr="00CC0AFD">
        <w:rPr>
          <w:w w:val="105"/>
        </w:rPr>
        <w:t xml:space="preserve">Viking, AGA, La </w:t>
      </w:r>
      <w:proofErr w:type="spellStart"/>
      <w:r w:rsidRPr="00CC0AFD">
        <w:rPr>
          <w:w w:val="105"/>
        </w:rPr>
        <w:t>Cornue</w:t>
      </w:r>
      <w:proofErr w:type="spellEnd"/>
      <w:r w:rsidRPr="00CC0AFD">
        <w:rPr>
          <w:w w:val="105"/>
        </w:rPr>
        <w:t xml:space="preserve">, Lynx, Marvel, </w:t>
      </w:r>
      <w:r w:rsidR="00CC0AFD" w:rsidRPr="00CC0AFD">
        <w:rPr>
          <w:w w:val="105"/>
        </w:rPr>
        <w:t xml:space="preserve">and </w:t>
      </w:r>
      <w:r w:rsidRPr="00CC0AFD">
        <w:rPr>
          <w:w w:val="105"/>
        </w:rPr>
        <w:t>U-Line</w:t>
      </w:r>
      <w:r w:rsidR="00CC0AFD" w:rsidRPr="00CC0AFD">
        <w:rPr>
          <w:w w:val="105"/>
        </w:rPr>
        <w:t xml:space="preserve"> make up the Middleby Residential Family and the NY Showroom</w:t>
      </w:r>
      <w:r w:rsidRPr="00CC0AFD">
        <w:rPr>
          <w:w w:val="105"/>
        </w:rPr>
        <w:t>.</w:t>
      </w:r>
    </w:p>
    <w:p w:rsidR="00701E7C" w:rsidRPr="00CC0AFD" w:rsidRDefault="00701E7C">
      <w:pPr>
        <w:pStyle w:val="BodyText"/>
        <w:spacing w:before="5"/>
      </w:pPr>
    </w:p>
    <w:p w:rsidR="00701E7C" w:rsidRPr="00CC0AFD" w:rsidRDefault="000D3E2C">
      <w:pPr>
        <w:pStyle w:val="BodyText"/>
        <w:spacing w:line="252" w:lineRule="auto"/>
        <w:ind w:left="113" w:right="125"/>
      </w:pPr>
      <w:r w:rsidRPr="00CC0AFD">
        <w:rPr>
          <w:w w:val="105"/>
        </w:rPr>
        <w:t>“Viking, along with the other brands in the Middleby Resid</w:t>
      </w:r>
      <w:r w:rsidR="0072433B">
        <w:rPr>
          <w:w w:val="105"/>
        </w:rPr>
        <w:t>ential portfolio, is excited to open</w:t>
      </w:r>
      <w:r w:rsidRPr="00CC0AFD">
        <w:rPr>
          <w:w w:val="105"/>
        </w:rPr>
        <w:t xml:space="preserve"> this showroom to better serve the New York design community and consumer market.” said Kevin Brown, President of Viking Range, </w:t>
      </w:r>
      <w:proofErr w:type="gramStart"/>
      <w:r w:rsidRPr="00CC0AFD">
        <w:rPr>
          <w:w w:val="105"/>
        </w:rPr>
        <w:t>LLC</w:t>
      </w:r>
      <w:proofErr w:type="gramEnd"/>
      <w:r w:rsidRPr="00CC0AFD">
        <w:rPr>
          <w:w w:val="105"/>
        </w:rPr>
        <w:t>. “Viking and Middleby Residential are committed to offering the highest quality and most innovative kitchen appliances to allow commercial performance in a residence, giving the homeowner the ability to cook like a professional ch</w:t>
      </w:r>
      <w:bookmarkStart w:id="0" w:name="_GoBack"/>
      <w:bookmarkEnd w:id="0"/>
      <w:r w:rsidRPr="00CC0AFD">
        <w:rPr>
          <w:w w:val="105"/>
        </w:rPr>
        <w:t>ef at home.”</w:t>
      </w:r>
    </w:p>
    <w:p w:rsidR="00CC0AFD" w:rsidRPr="00CC0AFD" w:rsidRDefault="00CC0AFD">
      <w:pPr>
        <w:pStyle w:val="BodyText"/>
        <w:spacing w:before="7"/>
        <w:rPr>
          <w:rFonts w:cs="Arial"/>
          <w:lang w:val="en"/>
        </w:rPr>
      </w:pPr>
    </w:p>
    <w:p w:rsidR="00CC0AFD" w:rsidRPr="0072433B" w:rsidRDefault="00CC0AFD" w:rsidP="00CC0AFD">
      <w:pPr>
        <w:pStyle w:val="BodyText"/>
        <w:spacing w:before="7"/>
        <w:ind w:left="113"/>
        <w:rPr>
          <w:rFonts w:cs="Arial"/>
          <w:lang w:val="en"/>
        </w:rPr>
      </w:pPr>
      <w:r w:rsidRPr="00CC0AFD">
        <w:rPr>
          <w:rFonts w:cs="Arial"/>
          <w:lang w:val="en"/>
        </w:rPr>
        <w:t>The Architects &amp; Designers Building is home to New York’s ultimate showroom resources featuring the City’s largest selection of luxury kitchen &amp; bath, appliances, tile &amp; stone, wood flooring, custom A/V, home automation, carpeting, lighting and high-end residential &amp; contract furniture.</w:t>
      </w:r>
    </w:p>
    <w:p w:rsidR="00CC0AFD" w:rsidRPr="0072433B" w:rsidRDefault="00CC0AFD" w:rsidP="00CC0AFD">
      <w:pPr>
        <w:pStyle w:val="NormalWeb"/>
        <w:ind w:left="113"/>
        <w:textAlignment w:val="top"/>
        <w:rPr>
          <w:rFonts w:ascii="Arial Narrow" w:hAnsi="Arial Narrow" w:cs="Arial"/>
          <w:sz w:val="22"/>
          <w:szCs w:val="22"/>
          <w:lang w:val="en"/>
        </w:rPr>
      </w:pPr>
      <w:r w:rsidRPr="0072433B">
        <w:rPr>
          <w:rFonts w:ascii="Arial Narrow" w:hAnsi="Arial Narrow" w:cs="Arial"/>
          <w:sz w:val="22"/>
          <w:szCs w:val="22"/>
          <w:lang w:val="en"/>
        </w:rPr>
        <w:t xml:space="preserve">With 35 showrooms, featuring thousands of distinctive products, the A&amp;D Building offers discerning homeowners and trade professionals the finest collection of premium brands to suit any design project from modern to transitional to traditional – all under one roof. Open Monday - Friday, 9am - 5pm, the A&amp;D Building is known in the design industry as “New </w:t>
      </w:r>
      <w:r w:rsidR="0072433B">
        <w:rPr>
          <w:rFonts w:ascii="Arial Narrow" w:hAnsi="Arial Narrow" w:cs="Arial"/>
          <w:sz w:val="22"/>
          <w:szCs w:val="22"/>
          <w:lang w:val="en"/>
        </w:rPr>
        <w:t>York’s ultimate design resource</w:t>
      </w:r>
      <w:r w:rsidRPr="0072433B">
        <w:rPr>
          <w:rFonts w:ascii="Arial Narrow" w:hAnsi="Arial Narrow" w:cs="Arial"/>
          <w:sz w:val="22"/>
          <w:szCs w:val="22"/>
          <w:lang w:val="en"/>
        </w:rPr>
        <w:t>”</w:t>
      </w:r>
      <w:r w:rsidR="0072433B">
        <w:rPr>
          <w:rFonts w:ascii="Arial Narrow" w:hAnsi="Arial Narrow" w:cs="Arial"/>
          <w:sz w:val="22"/>
          <w:szCs w:val="22"/>
          <w:lang w:val="en"/>
        </w:rPr>
        <w:t>.</w:t>
      </w:r>
    </w:p>
    <w:p w:rsidR="00701E7C" w:rsidRPr="0072433B" w:rsidRDefault="000D3E2C" w:rsidP="0072433B">
      <w:pPr>
        <w:pStyle w:val="NormalWeb"/>
        <w:ind w:left="113"/>
        <w:textAlignment w:val="top"/>
        <w:rPr>
          <w:rFonts w:ascii="Arial Narrow" w:hAnsi="Arial Narrow" w:cs="Arial"/>
          <w:sz w:val="22"/>
          <w:szCs w:val="22"/>
          <w:lang w:val="en"/>
        </w:rPr>
      </w:pPr>
      <w:r w:rsidRPr="0072433B">
        <w:rPr>
          <w:rFonts w:ascii="Arial Narrow" w:hAnsi="Arial Narrow"/>
          <w:w w:val="105"/>
          <w:sz w:val="22"/>
          <w:szCs w:val="22"/>
        </w:rPr>
        <w:t>The V</w:t>
      </w:r>
      <w:r w:rsidR="0072433B" w:rsidRPr="0072433B">
        <w:rPr>
          <w:rFonts w:ascii="Arial Narrow" w:hAnsi="Arial Narrow"/>
          <w:w w:val="105"/>
          <w:sz w:val="22"/>
          <w:szCs w:val="22"/>
        </w:rPr>
        <w:t>iking showroom opening coincided</w:t>
      </w:r>
      <w:r w:rsidRPr="0072433B">
        <w:rPr>
          <w:rFonts w:ascii="Arial Narrow" w:hAnsi="Arial Narrow"/>
          <w:w w:val="105"/>
          <w:sz w:val="22"/>
          <w:szCs w:val="22"/>
        </w:rPr>
        <w:t xml:space="preserve"> with</w:t>
      </w:r>
      <w:r w:rsidR="00CC0AFD" w:rsidRPr="0072433B">
        <w:rPr>
          <w:rFonts w:ascii="Arial Narrow" w:hAnsi="Arial Narrow"/>
          <w:w w:val="105"/>
          <w:sz w:val="22"/>
          <w:szCs w:val="22"/>
        </w:rPr>
        <w:t xml:space="preserve"> Wine &amp; Design: A Tasting &amp; Tour of the A&amp;D Building</w:t>
      </w:r>
      <w:r w:rsidRPr="0072433B">
        <w:rPr>
          <w:rFonts w:ascii="Arial Narrow" w:hAnsi="Arial Narrow"/>
          <w:w w:val="105"/>
          <w:sz w:val="22"/>
          <w:szCs w:val="22"/>
        </w:rPr>
        <w:t xml:space="preserve">. This event is the most anticipated event of the season </w:t>
      </w:r>
      <w:r w:rsidR="0072433B" w:rsidRPr="0072433B">
        <w:rPr>
          <w:rFonts w:ascii="Arial Narrow" w:hAnsi="Arial Narrow"/>
          <w:w w:val="105"/>
          <w:sz w:val="22"/>
          <w:szCs w:val="22"/>
        </w:rPr>
        <w:t xml:space="preserve">at </w:t>
      </w:r>
      <w:r w:rsidR="0072433B" w:rsidRPr="0072433B">
        <w:rPr>
          <w:rFonts w:ascii="Arial Narrow" w:hAnsi="Arial Narrow" w:cs="Arial"/>
          <w:sz w:val="22"/>
          <w:szCs w:val="22"/>
          <w:lang w:val="en"/>
        </w:rPr>
        <w:t>The Architects &amp; Designers Building. The building partnered with the Sommelier Society of America to highlight great wines from around the world with delicious food parings--all while enjoying fantastic new designs in the participating showrooms. Guests explored different wines with New York’s best sommeliers speaking in each showroom.</w:t>
      </w:r>
    </w:p>
    <w:p w:rsidR="00701E7C" w:rsidRDefault="000D3E2C">
      <w:pPr>
        <w:pStyle w:val="Heading2"/>
      </w:pPr>
      <w:r>
        <w:rPr>
          <w:w w:val="105"/>
        </w:rPr>
        <w:t>About Viking Range, LLC</w:t>
      </w:r>
    </w:p>
    <w:p w:rsidR="00701E7C" w:rsidRDefault="00701E7C">
      <w:pPr>
        <w:pStyle w:val="BodyText"/>
        <w:rPr>
          <w:rFonts w:ascii="Arial Narrow Bold"/>
          <w:b/>
          <w:sz w:val="24"/>
        </w:rPr>
      </w:pPr>
    </w:p>
    <w:p w:rsidR="00701E7C" w:rsidRDefault="000D3E2C">
      <w:pPr>
        <w:pStyle w:val="BodyText"/>
        <w:spacing w:line="252" w:lineRule="auto"/>
        <w:ind w:left="113" w:right="70"/>
      </w:pPr>
      <w:r>
        <w:rPr>
          <w:w w:val="105"/>
        </w:rPr>
        <w:t>Viking Range, LLC originated ultra-premium commercial-type appliances for the home, creating a whole new category of home appliances. Committed to innovative product design, unrivaled performance and peerless quality, Viking is headquartered in Greenwood, Mississippi, and is a subsidiary of The Middleby Corporation, a long-time leader in commercial kitchen technology. Viking appliances are recognized globally as the foremost brand in the high-end appliance industry and are sold through a network of premium appliance distributors and dealers worldwide.</w:t>
      </w:r>
    </w:p>
    <w:p w:rsidR="00701E7C" w:rsidRDefault="00701E7C">
      <w:pPr>
        <w:pStyle w:val="BodyText"/>
        <w:spacing w:before="6"/>
      </w:pPr>
    </w:p>
    <w:p w:rsidR="00701E7C" w:rsidRDefault="000D3E2C" w:rsidP="0072433B">
      <w:pPr>
        <w:pStyle w:val="BodyText"/>
        <w:spacing w:before="1" w:line="252" w:lineRule="auto"/>
        <w:ind w:left="113" w:right="272"/>
      </w:pPr>
      <w:r>
        <w:rPr>
          <w:w w:val="105"/>
        </w:rPr>
        <w:t xml:space="preserve">For additional product information, to locate a Viking dealer in your area, please visit </w:t>
      </w:r>
      <w:hyperlink r:id="rId7">
        <w:r>
          <w:rPr>
            <w:w w:val="105"/>
            <w:u w:val="single"/>
          </w:rPr>
          <w:t>www.vikingrange.com</w:t>
        </w:r>
        <w:r>
          <w:rPr>
            <w:w w:val="105"/>
          </w:rPr>
          <w:t xml:space="preserve">. </w:t>
        </w:r>
      </w:hyperlink>
      <w:r>
        <w:rPr>
          <w:w w:val="105"/>
        </w:rPr>
        <w:t xml:space="preserve">VIKING is a registered trademark of Viking Range, LLC. </w:t>
      </w:r>
    </w:p>
    <w:p w:rsidR="0072433B" w:rsidRDefault="0072433B">
      <w:pPr>
        <w:pStyle w:val="Heading2"/>
        <w:rPr>
          <w:w w:val="105"/>
        </w:rPr>
      </w:pPr>
    </w:p>
    <w:p w:rsidR="00701E7C" w:rsidRDefault="000D3E2C">
      <w:pPr>
        <w:pStyle w:val="Heading2"/>
      </w:pPr>
      <w:r>
        <w:rPr>
          <w:w w:val="105"/>
        </w:rPr>
        <w:t>About Middleby Residential</w:t>
      </w:r>
    </w:p>
    <w:p w:rsidR="00701E7C" w:rsidRDefault="00701E7C">
      <w:pPr>
        <w:pStyle w:val="BodyText"/>
        <w:rPr>
          <w:rFonts w:ascii="Arial Narrow Bold"/>
          <w:b/>
          <w:sz w:val="24"/>
        </w:rPr>
      </w:pPr>
    </w:p>
    <w:p w:rsidR="00701E7C" w:rsidRDefault="000D3E2C">
      <w:pPr>
        <w:pStyle w:val="BodyText"/>
        <w:spacing w:line="252" w:lineRule="auto"/>
        <w:ind w:left="113" w:right="111"/>
      </w:pPr>
      <w:r>
        <w:rPr>
          <w:w w:val="105"/>
        </w:rPr>
        <w:t>The Middleby Corporation is a global leader in the foodservice equipment industry. The company develops, manufacturers, markets and services a broad line of equipment used in the commercial foodservice, food processing, and residential kitchen equipment industries. The Middleby Residential Group includes the brands AGA</w:t>
      </w:r>
      <w:r w:rsidRPr="0072433B">
        <w:rPr>
          <w:w w:val="105"/>
          <w:vertAlign w:val="superscript"/>
        </w:rPr>
        <w:t>®</w:t>
      </w:r>
      <w:r>
        <w:rPr>
          <w:w w:val="105"/>
        </w:rPr>
        <w:t xml:space="preserve">, AGA </w:t>
      </w:r>
      <w:proofErr w:type="spellStart"/>
      <w:r>
        <w:rPr>
          <w:w w:val="105"/>
        </w:rPr>
        <w:t>Cookshop</w:t>
      </w:r>
      <w:proofErr w:type="spellEnd"/>
      <w:r w:rsidRPr="0072433B">
        <w:rPr>
          <w:w w:val="105"/>
          <w:vertAlign w:val="superscript"/>
        </w:rPr>
        <w:t>®</w:t>
      </w:r>
      <w:r>
        <w:rPr>
          <w:w w:val="105"/>
        </w:rPr>
        <w:t>, Fired</w:t>
      </w:r>
      <w:r>
        <w:rPr>
          <w:spacing w:val="-8"/>
          <w:w w:val="105"/>
        </w:rPr>
        <w:t xml:space="preserve"> </w:t>
      </w:r>
      <w:r>
        <w:rPr>
          <w:w w:val="105"/>
        </w:rPr>
        <w:t>Earth</w:t>
      </w:r>
      <w:r w:rsidRPr="0072433B">
        <w:rPr>
          <w:w w:val="105"/>
          <w:vertAlign w:val="superscript"/>
        </w:rPr>
        <w:t>®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w w:val="105"/>
        </w:rPr>
        <w:t>Heartland</w:t>
      </w:r>
      <w:r w:rsidRPr="0072433B">
        <w:rPr>
          <w:w w:val="105"/>
          <w:vertAlign w:val="superscript"/>
        </w:rPr>
        <w:t>®</w:t>
      </w:r>
      <w:r>
        <w:rPr>
          <w:w w:val="105"/>
        </w:rPr>
        <w:t>,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Cornue</w:t>
      </w:r>
      <w:proofErr w:type="spellEnd"/>
      <w:r w:rsidRPr="0072433B">
        <w:rPr>
          <w:w w:val="105"/>
          <w:vertAlign w:val="superscript"/>
        </w:rPr>
        <w:t>®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w w:val="105"/>
        </w:rPr>
        <w:t>Leisure</w:t>
      </w:r>
      <w:r>
        <w:rPr>
          <w:spacing w:val="-8"/>
          <w:w w:val="105"/>
        </w:rPr>
        <w:t xml:space="preserve"> </w:t>
      </w:r>
      <w:r>
        <w:rPr>
          <w:w w:val="105"/>
        </w:rPr>
        <w:t>Sinks</w:t>
      </w:r>
      <w:r w:rsidRPr="0072433B">
        <w:rPr>
          <w:w w:val="105"/>
          <w:vertAlign w:val="superscript"/>
        </w:rPr>
        <w:t>®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w w:val="105"/>
        </w:rPr>
        <w:t>Lynx</w:t>
      </w:r>
      <w:r w:rsidRPr="0072433B">
        <w:rPr>
          <w:w w:val="105"/>
          <w:vertAlign w:val="superscript"/>
        </w:rPr>
        <w:t>®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w w:val="105"/>
        </w:rPr>
        <w:t>Marvel</w:t>
      </w:r>
      <w:r w:rsidRPr="0072433B">
        <w:rPr>
          <w:w w:val="105"/>
          <w:vertAlign w:val="superscript"/>
        </w:rPr>
        <w:t>®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w w:val="105"/>
        </w:rPr>
        <w:t>Mercury</w:t>
      </w:r>
      <w:r w:rsidRPr="0072433B">
        <w:rPr>
          <w:w w:val="105"/>
          <w:vertAlign w:val="superscript"/>
        </w:rPr>
        <w:t>®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Rangemaster</w:t>
      </w:r>
      <w:proofErr w:type="spellEnd"/>
      <w:r w:rsidRPr="0072433B">
        <w:rPr>
          <w:w w:val="105"/>
          <w:vertAlign w:val="superscript"/>
        </w:rPr>
        <w:t>®</w:t>
      </w:r>
      <w:r>
        <w:rPr>
          <w:w w:val="105"/>
        </w:rPr>
        <w:t>, Rayburn</w:t>
      </w:r>
      <w:r w:rsidRPr="0072433B">
        <w:rPr>
          <w:w w:val="105"/>
          <w:vertAlign w:val="superscript"/>
        </w:rPr>
        <w:t>®</w:t>
      </w:r>
      <w:r>
        <w:rPr>
          <w:w w:val="105"/>
        </w:rPr>
        <w:t xml:space="preserve">, </w:t>
      </w:r>
      <w:proofErr w:type="spellStart"/>
      <w:r>
        <w:rPr>
          <w:w w:val="105"/>
        </w:rPr>
        <w:t>Redfyre</w:t>
      </w:r>
      <w:proofErr w:type="spellEnd"/>
      <w:r w:rsidRPr="0072433B">
        <w:rPr>
          <w:w w:val="105"/>
          <w:vertAlign w:val="superscript"/>
        </w:rPr>
        <w:t>®</w:t>
      </w:r>
      <w:r>
        <w:rPr>
          <w:w w:val="105"/>
        </w:rPr>
        <w:t>, Sedona</w:t>
      </w:r>
      <w:r w:rsidRPr="0072433B">
        <w:rPr>
          <w:w w:val="105"/>
          <w:vertAlign w:val="superscript"/>
        </w:rPr>
        <w:t>®</w:t>
      </w:r>
      <w:r>
        <w:rPr>
          <w:w w:val="105"/>
        </w:rPr>
        <w:t>, Stanley</w:t>
      </w:r>
      <w:r w:rsidRPr="0072433B">
        <w:rPr>
          <w:w w:val="105"/>
          <w:vertAlign w:val="superscript"/>
        </w:rPr>
        <w:t>®</w:t>
      </w:r>
      <w:r>
        <w:rPr>
          <w:w w:val="105"/>
        </w:rPr>
        <w:t>, U</w:t>
      </w:r>
      <w:r>
        <w:rPr>
          <w:rFonts w:ascii="Cambria Math" w:hAnsi="Cambria Math"/>
          <w:w w:val="105"/>
        </w:rPr>
        <w:t>-</w:t>
      </w:r>
      <w:r>
        <w:rPr>
          <w:w w:val="105"/>
        </w:rPr>
        <w:t>Line</w:t>
      </w:r>
      <w:r w:rsidRPr="0072433B">
        <w:rPr>
          <w:w w:val="105"/>
          <w:vertAlign w:val="superscript"/>
        </w:rPr>
        <w:t>®</w:t>
      </w:r>
      <w:r>
        <w:rPr>
          <w:w w:val="105"/>
        </w:rPr>
        <w:t xml:space="preserve"> and Viking</w:t>
      </w:r>
      <w:r w:rsidRPr="0072433B">
        <w:rPr>
          <w:w w:val="105"/>
          <w:vertAlign w:val="superscript"/>
        </w:rPr>
        <w:t>®</w:t>
      </w:r>
      <w:r>
        <w:rPr>
          <w:w w:val="105"/>
        </w:rPr>
        <w:t>.</w:t>
      </w:r>
    </w:p>
    <w:sectPr w:rsidR="00701E7C">
      <w:type w:val="continuous"/>
      <w:pgSz w:w="12240" w:h="15840"/>
      <w:pgMar w:top="780" w:right="104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 Bold">
    <w:altName w:val="Arial Narrow Bold"/>
    <w:panose1 w:val="020B0706020202030204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E7C"/>
    <w:rsid w:val="000765C2"/>
    <w:rsid w:val="000D3E2C"/>
    <w:rsid w:val="002368C6"/>
    <w:rsid w:val="00582FB3"/>
    <w:rsid w:val="00701E7C"/>
    <w:rsid w:val="0072433B"/>
    <w:rsid w:val="00760CC9"/>
    <w:rsid w:val="00CC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</w:rPr>
  </w:style>
  <w:style w:type="paragraph" w:styleId="Heading1">
    <w:name w:val="heading 1"/>
    <w:basedOn w:val="Normal"/>
    <w:uiPriority w:val="1"/>
    <w:qFormat/>
    <w:pPr>
      <w:ind w:left="7250"/>
      <w:outlineLvl w:val="0"/>
    </w:pPr>
    <w:rPr>
      <w:rFonts w:ascii="Arial Narrow Bold" w:eastAsia="Arial Narrow Bold" w:hAnsi="Arial Narrow Bold" w:cs="Arial Narrow Bold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13"/>
      <w:outlineLvl w:val="1"/>
    </w:pPr>
    <w:rPr>
      <w:rFonts w:ascii="Arial Narrow Bold" w:eastAsia="Arial Narrow Bold" w:hAnsi="Arial Narrow Bold" w:cs="Arial Narrow Bold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82F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FB3"/>
    <w:rPr>
      <w:rFonts w:ascii="Tahoma" w:eastAsia="Arial Narrow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C0AFD"/>
    <w:pPr>
      <w:widowControl/>
      <w:autoSpaceDE/>
      <w:autoSpaceDN/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</w:rPr>
  </w:style>
  <w:style w:type="paragraph" w:styleId="Heading1">
    <w:name w:val="heading 1"/>
    <w:basedOn w:val="Normal"/>
    <w:uiPriority w:val="1"/>
    <w:qFormat/>
    <w:pPr>
      <w:ind w:left="7250"/>
      <w:outlineLvl w:val="0"/>
    </w:pPr>
    <w:rPr>
      <w:rFonts w:ascii="Arial Narrow Bold" w:eastAsia="Arial Narrow Bold" w:hAnsi="Arial Narrow Bold" w:cs="Arial Narrow Bold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13"/>
      <w:outlineLvl w:val="1"/>
    </w:pPr>
    <w:rPr>
      <w:rFonts w:ascii="Arial Narrow Bold" w:eastAsia="Arial Narrow Bold" w:hAnsi="Arial Narrow Bold" w:cs="Arial Narrow Bold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82F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FB3"/>
    <w:rPr>
      <w:rFonts w:ascii="Tahoma" w:eastAsia="Arial Narrow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C0AFD"/>
    <w:pPr>
      <w:widowControl/>
      <w:autoSpaceDE/>
      <w:autoSpaceDN/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8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5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57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71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2" w:space="0" w:color="554842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ikingrange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 Coleman</dc:creator>
  <cp:lastModifiedBy>Katy Coleman</cp:lastModifiedBy>
  <cp:revision>4</cp:revision>
  <cp:lastPrinted>2018-12-14T15:15:00Z</cp:lastPrinted>
  <dcterms:created xsi:type="dcterms:W3CDTF">2018-12-14T15:15:00Z</dcterms:created>
  <dcterms:modified xsi:type="dcterms:W3CDTF">2019-01-29T16:50:00Z</dcterms:modified>
</cp:coreProperties>
</file>